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737BB" w14:textId="77777777" w:rsidR="00200F8E" w:rsidRPr="0044594A" w:rsidRDefault="00200F8E" w:rsidP="00200F8E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A</w:t>
      </w:r>
      <w:r w:rsidRPr="0044594A">
        <w:rPr>
          <w:b/>
          <w:bCs/>
          <w:lang w:val="en-US"/>
        </w:rPr>
        <w:t xml:space="preserve">mendments </w:t>
      </w:r>
      <w:r>
        <w:rPr>
          <w:b/>
          <w:bCs/>
          <w:lang w:val="en-US"/>
        </w:rPr>
        <w:t xml:space="preserve">to the </w:t>
      </w:r>
      <w:r w:rsidRPr="0044594A">
        <w:rPr>
          <w:b/>
          <w:bCs/>
          <w:lang w:val="en-US"/>
        </w:rPr>
        <w:t>EU Dual-Use</w:t>
      </w:r>
      <w:r>
        <w:rPr>
          <w:b/>
          <w:bCs/>
          <w:lang w:val="en-US"/>
        </w:rPr>
        <w:t xml:space="preserve"> items</w:t>
      </w:r>
      <w:r w:rsidRPr="0044594A">
        <w:rPr>
          <w:b/>
          <w:bCs/>
          <w:lang w:val="en-US"/>
        </w:rPr>
        <w:t xml:space="preserve"> on the way</w:t>
      </w:r>
    </w:p>
    <w:p w14:paraId="6611FD2A" w14:textId="77777777" w:rsidR="00200F8E" w:rsidRDefault="00200F8E" w:rsidP="00200F8E">
      <w:pPr>
        <w:rPr>
          <w:lang w:val="en-US"/>
        </w:rPr>
      </w:pPr>
    </w:p>
    <w:p w14:paraId="5B2A1464" w14:textId="77777777" w:rsidR="00200F8E" w:rsidRDefault="00200F8E" w:rsidP="00200F8E">
      <w:pPr>
        <w:rPr>
          <w:lang w:val="en-US"/>
        </w:rPr>
      </w:pPr>
      <w:r w:rsidRPr="0044594A">
        <w:rPr>
          <w:lang w:val="en-US"/>
        </w:rPr>
        <w:t xml:space="preserve"> </w:t>
      </w:r>
      <w:r>
        <w:rPr>
          <w:lang w:val="en-US"/>
        </w:rPr>
        <w:t xml:space="preserve">On 20 October 2021, an informal version of the </w:t>
      </w:r>
      <w:r w:rsidRPr="0044594A">
        <w:rPr>
          <w:i/>
          <w:iCs/>
          <w:lang w:val="en-US"/>
        </w:rPr>
        <w:t>Commission Delegated Regulation (EU) .../... of 20.10.2021 amending Regulation (EU) 2021/821 of the European Parliament and of the Council as regards the list of dual-use items</w:t>
      </w:r>
      <w:r>
        <w:rPr>
          <w:rStyle w:val="FootnoteReference"/>
          <w:i/>
          <w:iCs/>
          <w:lang w:val="en-US"/>
        </w:rPr>
        <w:footnoteReference w:id="1"/>
      </w:r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and its </w:t>
      </w:r>
      <w:r w:rsidRPr="00327E92">
        <w:rPr>
          <w:i/>
          <w:iCs/>
          <w:lang w:val="en-US"/>
        </w:rPr>
        <w:t>Annexes</w:t>
      </w:r>
      <w:r>
        <w:rPr>
          <w:rStyle w:val="FootnoteReference"/>
          <w:i/>
          <w:iCs/>
          <w:lang w:val="en-US"/>
        </w:rPr>
        <w:footnoteReference w:id="2"/>
      </w:r>
      <w:r>
        <w:rPr>
          <w:lang w:val="en-US"/>
        </w:rPr>
        <w:t xml:space="preserve"> have been published.</w:t>
      </w:r>
    </w:p>
    <w:p w14:paraId="785D1BE3" w14:textId="77777777" w:rsidR="00200F8E" w:rsidRDefault="00200F8E" w:rsidP="00200F8E">
      <w:pPr>
        <w:rPr>
          <w:lang w:val="en-US"/>
        </w:rPr>
      </w:pPr>
    </w:p>
    <w:p w14:paraId="2703D252" w14:textId="77777777" w:rsidR="00200F8E" w:rsidRDefault="00200F8E" w:rsidP="00200F8E">
      <w:pPr>
        <w:rPr>
          <w:lang w:val="en-US"/>
        </w:rPr>
      </w:pPr>
      <w:r>
        <w:rPr>
          <w:lang w:val="en-US"/>
        </w:rPr>
        <w:t xml:space="preserve">Pursuant to Article 17 of the dual-use Regulation, the Commission may adopt </w:t>
      </w:r>
      <w:r w:rsidRPr="00611A24">
        <w:rPr>
          <w:b/>
          <w:bCs/>
          <w:lang w:val="en-US"/>
        </w:rPr>
        <w:t>delegated acts</w:t>
      </w:r>
      <w:r>
        <w:rPr>
          <w:lang w:val="en-US"/>
        </w:rPr>
        <w:t xml:space="preserve"> to amend the list of dual-use items (Annex I, II or IV). </w:t>
      </w:r>
    </w:p>
    <w:p w14:paraId="58A85B32" w14:textId="77777777" w:rsidR="00200F8E" w:rsidRDefault="00200F8E" w:rsidP="00200F8E">
      <w:pPr>
        <w:rPr>
          <w:lang w:val="en-US"/>
        </w:rPr>
      </w:pPr>
    </w:p>
    <w:p w14:paraId="4DBF6AF9" w14:textId="77777777" w:rsidR="00200F8E" w:rsidRDefault="00200F8E" w:rsidP="00200F8E">
      <w:pPr>
        <w:rPr>
          <w:lang w:val="en-US"/>
        </w:rPr>
      </w:pPr>
      <w:r>
        <w:rPr>
          <w:lang w:val="en-US"/>
        </w:rPr>
        <w:t xml:space="preserve">The list of controlled items at EU level was </w:t>
      </w:r>
      <w:r w:rsidRPr="00611A24">
        <w:rPr>
          <w:b/>
          <w:bCs/>
          <w:lang w:val="en-US"/>
        </w:rPr>
        <w:t>last updated</w:t>
      </w:r>
      <w:r>
        <w:rPr>
          <w:lang w:val="en-US"/>
        </w:rPr>
        <w:t xml:space="preserve"> in 2019 and until the end of February 2020. Yet, it </w:t>
      </w:r>
      <w:r w:rsidRPr="006D1E36">
        <w:rPr>
          <w:lang w:val="en-US"/>
        </w:rPr>
        <w:t xml:space="preserve">needs to be </w:t>
      </w:r>
      <w:r>
        <w:rPr>
          <w:lang w:val="en-US"/>
        </w:rPr>
        <w:t xml:space="preserve">further </w:t>
      </w:r>
      <w:r w:rsidRPr="006D1E36">
        <w:rPr>
          <w:lang w:val="en-US"/>
        </w:rPr>
        <w:t>modified in order to reflect the changes to the control lists agreed by the relevant multilateral export control regime and arrangements until the end of 2020.</w:t>
      </w:r>
    </w:p>
    <w:p w14:paraId="4377BC2E" w14:textId="77777777" w:rsidR="00200F8E" w:rsidRDefault="00200F8E" w:rsidP="00200F8E">
      <w:pPr>
        <w:rPr>
          <w:lang w:val="en-US"/>
        </w:rPr>
      </w:pPr>
    </w:p>
    <w:p w14:paraId="637B15DD" w14:textId="77777777" w:rsidR="00200F8E" w:rsidRDefault="00200F8E" w:rsidP="00200F8E">
      <w:pPr>
        <w:rPr>
          <w:lang w:val="en-US"/>
        </w:rPr>
      </w:pPr>
      <w:r>
        <w:rPr>
          <w:lang w:val="en-US"/>
        </w:rPr>
        <w:t xml:space="preserve">New </w:t>
      </w:r>
      <w:r w:rsidRPr="00611A24">
        <w:rPr>
          <w:b/>
          <w:bCs/>
          <w:lang w:val="en-US"/>
        </w:rPr>
        <w:t>amendments</w:t>
      </w:r>
      <w:r>
        <w:rPr>
          <w:lang w:val="en-US"/>
        </w:rPr>
        <w:t xml:space="preserve"> concern the following:</w:t>
      </w:r>
    </w:p>
    <w:p w14:paraId="0402A15F" w14:textId="77777777" w:rsidR="00200F8E" w:rsidRDefault="00200F8E" w:rsidP="00200F8E">
      <w:pPr>
        <w:pStyle w:val="ListParagraph"/>
        <w:numPr>
          <w:ilvl w:val="0"/>
          <w:numId w:val="1"/>
        </w:numPr>
        <w:rPr>
          <w:lang w:val="en-US"/>
        </w:rPr>
      </w:pPr>
      <w:r w:rsidRPr="006D1E36">
        <w:rPr>
          <w:lang w:val="en-US"/>
        </w:rPr>
        <w:t>control parameters</w:t>
      </w:r>
      <w:r>
        <w:rPr>
          <w:lang w:val="en-US"/>
        </w:rPr>
        <w:t>;</w:t>
      </w:r>
      <w:r w:rsidRPr="006D1E36">
        <w:rPr>
          <w:lang w:val="en-US"/>
        </w:rPr>
        <w:t xml:space="preserve"> </w:t>
      </w:r>
    </w:p>
    <w:p w14:paraId="73F56411" w14:textId="77777777" w:rsidR="00200F8E" w:rsidRDefault="00200F8E" w:rsidP="00200F8E">
      <w:pPr>
        <w:pStyle w:val="ListParagraph"/>
        <w:numPr>
          <w:ilvl w:val="0"/>
          <w:numId w:val="1"/>
        </w:numPr>
        <w:rPr>
          <w:lang w:val="en-US"/>
        </w:rPr>
      </w:pPr>
      <w:r w:rsidRPr="006D1E36">
        <w:rPr>
          <w:lang w:val="en-US"/>
        </w:rPr>
        <w:t>the technical definitions and descriptions</w:t>
      </w:r>
      <w:r>
        <w:rPr>
          <w:lang w:val="en-US"/>
        </w:rPr>
        <w:t>;</w:t>
      </w:r>
    </w:p>
    <w:p w14:paraId="280CE6F9" w14:textId="77777777" w:rsidR="00200F8E" w:rsidRDefault="00200F8E" w:rsidP="00200F8E">
      <w:pPr>
        <w:pStyle w:val="ListParagraph"/>
        <w:numPr>
          <w:ilvl w:val="0"/>
          <w:numId w:val="1"/>
        </w:numPr>
        <w:rPr>
          <w:lang w:val="en-US"/>
        </w:rPr>
      </w:pPr>
      <w:r w:rsidRPr="006D1E36">
        <w:rPr>
          <w:lang w:val="en-US"/>
        </w:rPr>
        <w:t xml:space="preserve">the removal or addition of dual-use items.  </w:t>
      </w:r>
    </w:p>
    <w:p w14:paraId="6646FFB3" w14:textId="77777777" w:rsidR="00F57BD9" w:rsidRDefault="00F57BD9" w:rsidP="00200F8E">
      <w:pPr>
        <w:rPr>
          <w:lang w:val="en-US"/>
        </w:rPr>
      </w:pPr>
    </w:p>
    <w:p w14:paraId="1205AF9C" w14:textId="068A73E9" w:rsidR="00200F8E" w:rsidRDefault="00F57BD9" w:rsidP="00200F8E">
      <w:pPr>
        <w:rPr>
          <w:lang w:val="en-US"/>
        </w:rPr>
      </w:pPr>
      <w:r>
        <w:rPr>
          <w:lang w:val="en-US"/>
        </w:rPr>
        <w:t xml:space="preserve">As </w:t>
      </w:r>
      <w:r w:rsidRPr="00611A24">
        <w:rPr>
          <w:b/>
          <w:bCs/>
          <w:lang w:val="en-US"/>
        </w:rPr>
        <w:t>Annex I</w:t>
      </w:r>
      <w:r>
        <w:rPr>
          <w:lang w:val="en-US"/>
        </w:rPr>
        <w:t xml:space="preserve"> was amended - which includes items also listed in Annex IV -, </w:t>
      </w:r>
      <w:r w:rsidRPr="00611A24">
        <w:rPr>
          <w:b/>
          <w:bCs/>
          <w:lang w:val="en-US"/>
        </w:rPr>
        <w:t>Annex IV</w:t>
      </w:r>
      <w:r>
        <w:rPr>
          <w:lang w:val="en-US"/>
        </w:rPr>
        <w:t xml:space="preserve"> need</w:t>
      </w:r>
      <w:r w:rsidR="00611A24">
        <w:rPr>
          <w:lang w:val="en-US"/>
        </w:rPr>
        <w:t>s</w:t>
      </w:r>
      <w:r>
        <w:rPr>
          <w:lang w:val="en-US"/>
        </w:rPr>
        <w:t xml:space="preserve"> to be amended accordingly.</w:t>
      </w:r>
    </w:p>
    <w:p w14:paraId="7C090CB3" w14:textId="77777777" w:rsidR="00200F8E" w:rsidRDefault="00200F8E" w:rsidP="00200F8E">
      <w:pPr>
        <w:rPr>
          <w:lang w:val="en-US"/>
        </w:rPr>
      </w:pPr>
    </w:p>
    <w:p w14:paraId="7F2E9C48" w14:textId="10E19398" w:rsidR="00200F8E" w:rsidRPr="0044594A" w:rsidRDefault="00200F8E" w:rsidP="00200F8E">
      <w:pPr>
        <w:rPr>
          <w:lang w:val="en-US"/>
        </w:rPr>
      </w:pPr>
      <w:r>
        <w:rPr>
          <w:lang w:val="en-US"/>
        </w:rPr>
        <w:t xml:space="preserve">The amendments were adopted with prior </w:t>
      </w:r>
      <w:r w:rsidR="00F57BD9">
        <w:rPr>
          <w:lang w:val="en-US"/>
        </w:rPr>
        <w:t xml:space="preserve">transparent </w:t>
      </w:r>
      <w:r w:rsidRPr="00611A24">
        <w:rPr>
          <w:b/>
          <w:bCs/>
          <w:lang w:val="en-US"/>
        </w:rPr>
        <w:t>consultations</w:t>
      </w:r>
      <w:r>
        <w:rPr>
          <w:lang w:val="en-US"/>
        </w:rPr>
        <w:t xml:space="preserve"> of stakeholders and experts, as pursuant to specific interinstitutional act.</w:t>
      </w:r>
      <w:r>
        <w:rPr>
          <w:rStyle w:val="FootnoteReference"/>
          <w:lang w:val="en-US"/>
        </w:rPr>
        <w:footnoteReference w:id="3"/>
      </w:r>
    </w:p>
    <w:p w14:paraId="6C29113D" w14:textId="77777777" w:rsidR="00635917" w:rsidRPr="00200F8E" w:rsidRDefault="00635917">
      <w:pPr>
        <w:jc w:val="both"/>
        <w:rPr>
          <w:lang w:val="en-US"/>
        </w:rPr>
      </w:pPr>
    </w:p>
    <w:sectPr w:rsidR="00635917" w:rsidRPr="00200F8E">
      <w:headerReference w:type="default" r:id="rId7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91410" w14:textId="77777777" w:rsidR="00811F61" w:rsidRDefault="00811F61">
      <w:r>
        <w:separator/>
      </w:r>
    </w:p>
  </w:endnote>
  <w:endnote w:type="continuationSeparator" w:id="0">
    <w:p w14:paraId="444F06D3" w14:textId="77777777" w:rsidR="00811F61" w:rsidRDefault="00811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1C433" w14:textId="77777777" w:rsidR="00811F61" w:rsidRDefault="00811F61">
      <w:r>
        <w:separator/>
      </w:r>
    </w:p>
  </w:footnote>
  <w:footnote w:type="continuationSeparator" w:id="0">
    <w:p w14:paraId="347A98F4" w14:textId="77777777" w:rsidR="00811F61" w:rsidRDefault="00811F61">
      <w:r>
        <w:continuationSeparator/>
      </w:r>
    </w:p>
  </w:footnote>
  <w:footnote w:id="1">
    <w:p w14:paraId="3A2E613B" w14:textId="77777777" w:rsidR="00200F8E" w:rsidRPr="0076454C" w:rsidRDefault="00200F8E" w:rsidP="00200F8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76454C">
        <w:rPr>
          <w:lang w:val="en-US"/>
        </w:rPr>
        <w:t xml:space="preserve"> Commission Delegated Regulation (EU) .../... of 20.10.2021</w:t>
      </w:r>
      <w:r>
        <w:rPr>
          <w:lang w:val="en-US"/>
        </w:rPr>
        <w:t xml:space="preserve"> </w:t>
      </w:r>
      <w:r w:rsidRPr="0076454C">
        <w:rPr>
          <w:lang w:val="en-US"/>
        </w:rPr>
        <w:t>amending Regulation (EU) 2021/821 of the European Parliament and of the Council as regards the list of dual-use items</w:t>
      </w:r>
      <w:r>
        <w:rPr>
          <w:lang w:val="en-US"/>
        </w:rPr>
        <w:t xml:space="preserve">, </w:t>
      </w:r>
      <w:proofErr w:type="gramStart"/>
      <w:r w:rsidRPr="0076454C">
        <w:rPr>
          <w:lang w:val="en-US"/>
        </w:rPr>
        <w:t>C(</w:t>
      </w:r>
      <w:proofErr w:type="gramEnd"/>
      <w:r w:rsidRPr="0076454C">
        <w:rPr>
          <w:lang w:val="en-US"/>
        </w:rPr>
        <w:t>2021) 7424 final</w:t>
      </w:r>
      <w:r>
        <w:rPr>
          <w:lang w:val="en-US"/>
        </w:rPr>
        <w:t>,</w:t>
      </w:r>
      <w:r>
        <w:t xml:space="preserve"> </w:t>
      </w:r>
      <w:r w:rsidRPr="0076454C">
        <w:t>20 October 2021</w:t>
      </w:r>
      <w:r w:rsidRPr="0076454C">
        <w:rPr>
          <w:lang w:val="en-US"/>
        </w:rPr>
        <w:t>.</w:t>
      </w:r>
    </w:p>
  </w:footnote>
  <w:footnote w:id="2">
    <w:p w14:paraId="2054DDA4" w14:textId="77777777" w:rsidR="00200F8E" w:rsidRPr="0076454C" w:rsidRDefault="00200F8E" w:rsidP="00200F8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t>Annexes to the Commission Delegated Regulation amending Regulation (EU) 2021/821 of the European Parliament and of the Council as regards the list of dual-use items</w:t>
      </w:r>
      <w:r w:rsidRPr="0076454C">
        <w:rPr>
          <w:lang w:val="en-US"/>
        </w:rPr>
        <w:t>,</w:t>
      </w:r>
      <w:r>
        <w:t xml:space="preserve"> C(2021) 7424 final</w:t>
      </w:r>
      <w:r w:rsidRPr="0076454C">
        <w:rPr>
          <w:lang w:val="en-US"/>
        </w:rPr>
        <w:t xml:space="preserve">, </w:t>
      </w:r>
      <w:r>
        <w:rPr>
          <w:lang w:val="en-US"/>
        </w:rPr>
        <w:t>,</w:t>
      </w:r>
      <w:r>
        <w:t xml:space="preserve"> </w:t>
      </w:r>
      <w:r w:rsidRPr="0076454C">
        <w:t>20 October 2021</w:t>
      </w:r>
      <w:r w:rsidRPr="0076454C">
        <w:rPr>
          <w:lang w:val="en-US"/>
        </w:rPr>
        <w:t>.</w:t>
      </w:r>
    </w:p>
  </w:footnote>
  <w:footnote w:id="3">
    <w:p w14:paraId="72C7A1CF" w14:textId="77777777" w:rsidR="00200F8E" w:rsidRPr="00327E28" w:rsidRDefault="00200F8E" w:rsidP="00200F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27E28">
        <w:t>See Annex to the Interinstitutional Agreement of 13 April 2016 between the European Parliament, the Council of the European Union and the European Commission on Better Law-Making (OJ L 123, 12.5.2016, p.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1D67" w14:textId="33A6115D" w:rsidR="00635917" w:rsidRDefault="00CC4EDB">
    <w:pPr>
      <w:spacing w:beforeAutospacing="1" w:afterAutospacing="1"/>
      <w:rPr>
        <w:rFonts w:ascii="Times New Roman" w:eastAsia="Times New Roman" w:hAnsi="Times New Roman" w:cs="Times New Roman"/>
        <w:i/>
        <w:iCs/>
        <w:sz w:val="20"/>
        <w:szCs w:val="20"/>
        <w:lang w:eastAsia="en-GB"/>
      </w:rPr>
    </w:pPr>
    <w:r>
      <w:rPr>
        <w:noProof/>
      </w:rPr>
      <w:drawing>
        <wp:anchor distT="0" distB="1270" distL="114300" distR="114300" simplePos="0" relativeHeight="2" behindDoc="1" locked="0" layoutInCell="1" allowOverlap="1" wp14:anchorId="4973549B" wp14:editId="6881A6D5">
          <wp:simplePos x="0" y="0"/>
          <wp:positionH relativeFrom="column">
            <wp:posOffset>4940935</wp:posOffset>
          </wp:positionH>
          <wp:positionV relativeFrom="paragraph">
            <wp:posOffset>-330200</wp:posOffset>
          </wp:positionV>
          <wp:extent cx="780415" cy="558165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58" t="29476" r="31027" b="52285"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558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0F8E">
      <w:rPr>
        <w:i/>
        <w:iCs/>
        <w:sz w:val="20"/>
        <w:szCs w:val="20"/>
        <w:lang w:val="en-US"/>
      </w:rPr>
      <w:t>Veronica</w:t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  <w:r w:rsidR="00200F8E">
      <w:rPr>
        <w:rFonts w:eastAsia="Times New Roman" w:cs="Calibri"/>
        <w:i/>
        <w:iCs/>
        <w:sz w:val="20"/>
        <w:szCs w:val="20"/>
        <w:lang w:val="en-US" w:eastAsia="en-GB"/>
      </w:rPr>
      <w:t>Vella</w:t>
    </w:r>
    <w:r>
      <w:rPr>
        <w:rFonts w:eastAsia="Times New Roman" w:cs="Calibri"/>
        <w:i/>
        <w:iCs/>
        <w:sz w:val="20"/>
        <w:szCs w:val="20"/>
        <w:lang w:eastAsia="en-GB"/>
      </w:rPr>
      <w:t xml:space="preserve"> – ESU – </w:t>
    </w:r>
    <w:r w:rsidR="00200F8E">
      <w:rPr>
        <w:rFonts w:eastAsia="Times New Roman" w:cs="Calibri"/>
        <w:i/>
        <w:iCs/>
        <w:sz w:val="20"/>
        <w:szCs w:val="20"/>
        <w:lang w:val="en-US" w:eastAsia="en-GB"/>
      </w:rPr>
      <w:t>27</w:t>
    </w:r>
    <w:r>
      <w:rPr>
        <w:rFonts w:eastAsia="Times New Roman" w:cs="Calibri"/>
        <w:i/>
        <w:iCs/>
        <w:sz w:val="20"/>
        <w:szCs w:val="20"/>
        <w:lang w:val="en-US" w:eastAsia="en-GB"/>
      </w:rPr>
      <w:t xml:space="preserve"> </w:t>
    </w:r>
    <w:r w:rsidR="00200F8E">
      <w:rPr>
        <w:rFonts w:eastAsia="Times New Roman" w:cs="Calibri"/>
        <w:i/>
        <w:iCs/>
        <w:sz w:val="20"/>
        <w:szCs w:val="20"/>
        <w:lang w:val="en-US" w:eastAsia="en-GB"/>
      </w:rPr>
      <w:t>October 2021</w:t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E041B3"/>
    <w:multiLevelType w:val="hybridMultilevel"/>
    <w:tmpl w:val="80129010"/>
    <w:lvl w:ilvl="0" w:tplc="425E8186">
      <w:start w:val="1"/>
      <w:numFmt w:val="bullet"/>
      <w:lvlText w:val=""/>
      <w:lvlJc w:val="left"/>
      <w:pPr>
        <w:ind w:left="720" w:hanging="360"/>
      </w:pPr>
      <w:rPr>
        <w:rFonts w:ascii="Symbol" w:eastAsia="Arial Unicode MS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8E"/>
    <w:rsid w:val="00200F8E"/>
    <w:rsid w:val="00611A24"/>
    <w:rsid w:val="00635917"/>
    <w:rsid w:val="00811F61"/>
    <w:rsid w:val="009349A4"/>
    <w:rsid w:val="0098579C"/>
    <w:rsid w:val="00CC4EDB"/>
    <w:rsid w:val="00F5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12C2348"/>
  <w15:docId w15:val="{3B069E16-2FD6-A748-A9D5-A4E83D56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F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4939D0"/>
    <w:rPr>
      <w:sz w:val="20"/>
      <w:szCs w:val="20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4939D0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InternetLink">
    <w:name w:val="Internet Link"/>
    <w:basedOn w:val="DefaultParagraphFont"/>
    <w:uiPriority w:val="99"/>
    <w:unhideWhenUsed/>
    <w:rsid w:val="004939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4939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A13F4D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515CD2"/>
  </w:style>
  <w:style w:type="character" w:customStyle="1" w:styleId="FooterChar">
    <w:name w:val="Footer Char"/>
    <w:basedOn w:val="DefaultParagraphFont"/>
    <w:link w:val="Footer"/>
    <w:uiPriority w:val="99"/>
    <w:qFormat/>
    <w:rsid w:val="00515CD2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A1203"/>
    <w:rPr>
      <w:rFonts w:ascii="Times New Roman" w:hAnsi="Times New Roman" w:cs="Times New Roman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b w:val="0"/>
      <w:bCs w:val="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ListParagraph">
    <w:name w:val="List Paragraph"/>
    <w:basedOn w:val="Normal"/>
    <w:uiPriority w:val="34"/>
    <w:qFormat/>
    <w:rsid w:val="00E94CE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939D0"/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AD7D88"/>
    <w:pPr>
      <w:spacing w:beforeAutospacing="1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15CD2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515CD2"/>
    <w:pPr>
      <w:tabs>
        <w:tab w:val="center" w:pos="4513"/>
        <w:tab w:val="right" w:pos="902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A1203"/>
    <w:rPr>
      <w:rFonts w:ascii="Times New Roman" w:hAnsi="Times New Roman" w:cs="Times New Roman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200F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eronicavella/Library/Group%20Containers/UBF8T346G9.Office/User%20Content.localized/Templates.localized/Headed%20Paper%20-%20ES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Paper - ESU.dotx</Template>
  <TotalTime>7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Vella</dc:creator>
  <dc:description/>
  <cp:lastModifiedBy>Veronica Vella</cp:lastModifiedBy>
  <cp:revision>1</cp:revision>
  <cp:lastPrinted>2020-11-04T10:41:00Z</cp:lastPrinted>
  <dcterms:created xsi:type="dcterms:W3CDTF">2021-10-27T08:34:00Z</dcterms:created>
  <dcterms:modified xsi:type="dcterms:W3CDTF">2021-10-27T08:43:00Z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